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61" w:rsidRDefault="00540061"/>
    <w:tbl>
      <w:tblPr>
        <w:tblW w:w="11057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04"/>
        <w:gridCol w:w="4453"/>
      </w:tblGrid>
      <w:tr w:rsidR="00AD366E" w:rsidRPr="00540061" w:rsidTr="00540061">
        <w:trPr>
          <w:trHeight w:val="341"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66E" w:rsidRDefault="00540061" w:rsidP="00540061">
            <w:pPr>
              <w:pStyle w:val="TableStyle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Name:</w:t>
            </w:r>
          </w:p>
          <w:p w:rsidR="00540061" w:rsidRPr="00540061" w:rsidRDefault="00540061" w:rsidP="0000610D">
            <w:pPr>
              <w:pStyle w:val="TableStyle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592537" w:rsidRPr="00540061" w:rsidTr="00540061">
        <w:trPr>
          <w:trHeight w:val="341"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37" w:rsidRPr="00592537" w:rsidRDefault="00592537" w:rsidP="00592537">
            <w:pPr>
              <w:pStyle w:val="TableStyle2"/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592537">
              <w:rPr>
                <w:rFonts w:ascii="Open Sans" w:hAnsi="Open Sans" w:cs="Open Sans"/>
                <w:b/>
                <w:bCs/>
                <w:sz w:val="22"/>
              </w:rPr>
              <w:t>All competitors using Sous Vide Applications must complete a food safety plan (Sous Vide Application Plan – CCP Log). Please highlight the critical control points from the start of your contest to the end (modify the ingredients and timelines as needed for your specific application).</w:t>
            </w:r>
          </w:p>
          <w:p w:rsidR="00592537" w:rsidRPr="00592537" w:rsidRDefault="00592537" w:rsidP="00592537">
            <w:pPr>
              <w:pStyle w:val="TableStyle2"/>
              <w:jc w:val="center"/>
              <w:rPr>
                <w:rFonts w:ascii="Open Sans" w:hAnsi="Open Sans" w:cs="Open Sans"/>
                <w:b/>
                <w:bCs/>
                <w:sz w:val="12"/>
                <w:szCs w:val="10"/>
              </w:rPr>
            </w:pPr>
          </w:p>
          <w:p w:rsidR="00592537" w:rsidRDefault="00592537" w:rsidP="00592537">
            <w:pPr>
              <w:pStyle w:val="TableStyle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92537">
              <w:rPr>
                <w:rFonts w:ascii="Open Sans" w:hAnsi="Open Sans" w:cs="Open Sans"/>
                <w:b/>
                <w:bCs/>
                <w:sz w:val="22"/>
              </w:rPr>
              <w:t>Please review the document "Guidelines for restaurant Sous Vide cooking safety in British Columbia" posted to the Skills Website for Sous Vice best practices and guidelines.  Any competitor not posting a Sous Vide Application Plan will not have that product consumed.</w:t>
            </w:r>
          </w:p>
        </w:tc>
      </w:tr>
      <w:tr w:rsidR="00540061" w:rsidRPr="00540061" w:rsidTr="00540061">
        <w:trPr>
          <w:trHeight w:val="341"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061" w:rsidRPr="00540061" w:rsidRDefault="00540061" w:rsidP="00540061">
            <w:pPr>
              <w:pStyle w:val="TableStyle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val="fr-CA"/>
              </w:rPr>
            </w:pPr>
            <w:r w:rsidRPr="00540061">
              <w:rPr>
                <w:rFonts w:ascii="Open Sans" w:hAnsi="Open Sans" w:cs="Open Sans"/>
                <w:b/>
                <w:bCs/>
                <w:sz w:val="22"/>
                <w:szCs w:val="22"/>
                <w:lang w:val="fr-CA"/>
              </w:rPr>
              <w:t>Tous les concurrents qui utilisent les applications sous vide doivent dresser un plan de salubrité alimentaire (plan pour l’application sous vide – Registre des PCC). Veuillez souligner les points de contrôle critiques (PCC) entre le début et la fin du concours (modifiez les ingrédients et délais au besoin pour votre application particulière).</w:t>
            </w:r>
          </w:p>
          <w:p w:rsidR="00540061" w:rsidRPr="00540061" w:rsidRDefault="00540061" w:rsidP="00540061">
            <w:pPr>
              <w:pStyle w:val="TableStyle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val="fr-CA"/>
              </w:rPr>
            </w:pPr>
          </w:p>
          <w:p w:rsidR="00540061" w:rsidRPr="00540061" w:rsidRDefault="00540061" w:rsidP="00540061">
            <w:pPr>
              <w:pStyle w:val="TableStyle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40061">
              <w:rPr>
                <w:rFonts w:ascii="Open Sans" w:hAnsi="Open Sans" w:cs="Open Sans"/>
                <w:b/>
                <w:bCs/>
                <w:sz w:val="22"/>
                <w:szCs w:val="22"/>
                <w:lang w:val="fr-CA"/>
              </w:rPr>
              <w:t xml:space="preserve">Veuillez prendre connaissance du document intitulé 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  <w:lang w:val="fr-CA"/>
              </w:rPr>
              <w:t>«</w:t>
            </w:r>
            <w:bookmarkStart w:id="0" w:name="_GoBack"/>
            <w:r w:rsidRPr="00540061">
              <w:rPr>
                <w:rFonts w:ascii="Open Sans" w:hAnsi="Open Sans" w:cs="Open Sans"/>
                <w:b/>
                <w:bCs/>
                <w:i/>
                <w:sz w:val="22"/>
                <w:szCs w:val="22"/>
                <w:lang w:val="fr-CA"/>
              </w:rPr>
              <w:t xml:space="preserve">Guidelines for restaurant Sous Vide cooking </w:t>
            </w:r>
            <w:proofErr w:type="spellStart"/>
            <w:r w:rsidRPr="00540061">
              <w:rPr>
                <w:rFonts w:ascii="Open Sans" w:hAnsi="Open Sans" w:cs="Open Sans"/>
                <w:b/>
                <w:bCs/>
                <w:i/>
                <w:sz w:val="22"/>
                <w:szCs w:val="22"/>
                <w:lang w:val="fr-CA"/>
              </w:rPr>
              <w:t>safety</w:t>
            </w:r>
            <w:proofErr w:type="spellEnd"/>
            <w:r w:rsidRPr="00540061">
              <w:rPr>
                <w:rFonts w:ascii="Open Sans" w:hAnsi="Open Sans" w:cs="Open Sans"/>
                <w:b/>
                <w:bCs/>
                <w:i/>
                <w:sz w:val="22"/>
                <w:szCs w:val="22"/>
                <w:lang w:val="fr-CA"/>
              </w:rPr>
              <w:t xml:space="preserve"> in British Columbia</w:t>
            </w:r>
            <w:r>
              <w:rPr>
                <w:rFonts w:ascii="Open Sans" w:hAnsi="Open Sans" w:cs="Open Sans"/>
                <w:b/>
                <w:bCs/>
                <w:i/>
                <w:sz w:val="22"/>
                <w:szCs w:val="22"/>
                <w:lang w:val="fr-CA"/>
              </w:rPr>
              <w:t> »</w:t>
            </w:r>
            <w:r w:rsidRPr="00540061">
              <w:rPr>
                <w:rFonts w:ascii="Open Sans" w:hAnsi="Open Sans" w:cs="Open Sans"/>
                <w:b/>
                <w:bCs/>
                <w:sz w:val="22"/>
                <w:szCs w:val="22"/>
                <w:lang w:val="fr-CA"/>
              </w:rPr>
              <w:t xml:space="preserve"> affiché sur le site Web de Compétences Ontario pour connaître les pratiques </w:t>
            </w:r>
            <w:bookmarkEnd w:id="0"/>
            <w:r w:rsidRPr="00540061">
              <w:rPr>
                <w:rFonts w:ascii="Open Sans" w:hAnsi="Open Sans" w:cs="Open Sans"/>
                <w:b/>
                <w:bCs/>
                <w:sz w:val="22"/>
                <w:szCs w:val="22"/>
                <w:lang w:val="fr-CA"/>
              </w:rPr>
              <w:t>exemplaires et directives concernant l’application sous vide. Le produit de tout concurrent qui ne présente pas un plan pour l’application sous vide ne sera pas consommé.</w:t>
            </w:r>
          </w:p>
        </w:tc>
      </w:tr>
      <w:tr w:rsidR="00AD366E" w:rsidRPr="00540061" w:rsidTr="00540061">
        <w:trPr>
          <w:trHeight w:val="341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540061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Probe Ingredients &amp; Timeline</w:t>
            </w:r>
            <w:r w:rsidR="00540061" w:rsidRPr="00540061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 / </w:t>
            </w:r>
            <w:r w:rsidR="00540061" w:rsidRPr="00540061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  <w:lang w:val="fr-CA"/>
              </w:rPr>
              <w:t>Ingrédients et délais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540061" w:rsidP="00AD366E">
            <w:pPr>
              <w:pStyle w:val="TableStyle2"/>
              <w:jc w:val="center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Monday / </w:t>
            </w:r>
            <w:proofErr w:type="spellStart"/>
            <w: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Lundi</w:t>
            </w:r>
            <w:proofErr w:type="spellEnd"/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Water Bath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Bain-marie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Product Temperature – From Fridge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Température du produit – au moment de le sortir du réfrigérateur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Product Temperature –  After Preparation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Température du produit – après la préparation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197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eastAsia="Arial Unicode M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Water Bath Starting Temperature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Température initiale du bain-marie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15 Minutes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15 minutes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30 Minutes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30 Minutes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45 Minutes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45 Minutes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60 Minutes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60 Minutes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Holding in 75th Minute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Maintenue à la 75e minute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lastRenderedPageBreak/>
              <w:t>Holding in 90th Minute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Maintenue à la 90e minute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eastAsia="Arial Unicode M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Holding in 105th Minute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Maintenue à la 105e minute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eastAsia="Arial Unicode M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Holding in 120th Minute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Maintenue à la 120e minute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Resting Temperature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Température au repos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D366E" w:rsidRPr="00540061" w:rsidTr="00540061">
        <w:trPr>
          <w:trHeight w:val="279"/>
        </w:trPr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40061">
              <w:rPr>
                <w:rFonts w:ascii="Open Sans" w:eastAsia="Arial Unicode MS" w:hAnsi="Open Sans" w:cs="Open Sans"/>
                <w:sz w:val="22"/>
                <w:szCs w:val="22"/>
              </w:rPr>
              <w:t>Serving Temperature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</w:rPr>
              <w:t xml:space="preserve"> / </w:t>
            </w:r>
            <w:r w:rsidR="00540061" w:rsidRPr="00540061">
              <w:rPr>
                <w:rFonts w:ascii="Open Sans" w:eastAsia="Arial Unicode MS" w:hAnsi="Open Sans" w:cs="Open Sans"/>
                <w:sz w:val="22"/>
                <w:szCs w:val="22"/>
                <w:lang w:val="fr-CA"/>
              </w:rPr>
              <w:t>Température au moment du service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66E" w:rsidRPr="00540061" w:rsidRDefault="00AD366E" w:rsidP="00AD366E">
            <w:pPr>
              <w:pStyle w:val="TableStyle2"/>
              <w:spacing w:before="120"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925196" w:rsidRPr="00540061" w:rsidRDefault="00925196">
      <w:pPr>
        <w:pStyle w:val="Body"/>
        <w:rPr>
          <w:rFonts w:ascii="Open Sans" w:hAnsi="Open Sans" w:cs="Open Sans"/>
        </w:rPr>
      </w:pPr>
    </w:p>
    <w:p w:rsidR="00540061" w:rsidRPr="00540061" w:rsidRDefault="00540061" w:rsidP="00AD366E">
      <w:pPr>
        <w:pStyle w:val="Body"/>
        <w:rPr>
          <w:rFonts w:ascii="Open Sans" w:eastAsia="Cambria" w:hAnsi="Open Sans" w:cs="Open Sans"/>
          <w:b/>
          <w:bCs/>
          <w:u w:val="single"/>
        </w:rPr>
      </w:pPr>
    </w:p>
    <w:p w:rsidR="00540061" w:rsidRPr="00540061" w:rsidRDefault="00540061" w:rsidP="00AD366E">
      <w:pPr>
        <w:pStyle w:val="Body"/>
        <w:rPr>
          <w:rFonts w:ascii="Open Sans" w:eastAsia="Cambria" w:hAnsi="Open Sans" w:cs="Open Sans"/>
          <w:b/>
          <w:bCs/>
          <w:u w:val="single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075"/>
        <w:gridCol w:w="7982"/>
      </w:tblGrid>
      <w:tr w:rsidR="00540061" w:rsidRPr="00540061" w:rsidTr="00540061">
        <w:trPr>
          <w:trHeight w:val="760"/>
        </w:trPr>
        <w:tc>
          <w:tcPr>
            <w:tcW w:w="11057" w:type="dxa"/>
            <w:gridSpan w:val="2"/>
            <w:vAlign w:val="center"/>
          </w:tcPr>
          <w:p w:rsidR="00540061" w:rsidRPr="00540061" w:rsidRDefault="00540061" w:rsidP="00540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eastAsia="Cambria" w:hAnsi="Open Sans" w:cs="Open Sans"/>
                <w:b/>
                <w:bCs/>
              </w:rPr>
            </w:pPr>
            <w:r w:rsidRPr="00540061">
              <w:rPr>
                <w:rFonts w:ascii="Open Sans" w:eastAsia="Cambria" w:hAnsi="Open Sans" w:cs="Open Sans"/>
                <w:b/>
                <w:bCs/>
                <w:sz w:val="28"/>
              </w:rPr>
              <w:t>EQUIPMENT LIST</w:t>
            </w:r>
          </w:p>
        </w:tc>
      </w:tr>
      <w:tr w:rsidR="00AD366E" w:rsidRPr="00540061" w:rsidTr="00540061">
        <w:tc>
          <w:tcPr>
            <w:tcW w:w="3075" w:type="dxa"/>
          </w:tcPr>
          <w:p w:rsidR="00AD366E" w:rsidRP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Open Sans" w:eastAsia="Cambria" w:hAnsi="Open Sans" w:cs="Open Sans"/>
                <w:b/>
                <w:bCs/>
              </w:rPr>
            </w:pPr>
            <w:r w:rsidRPr="00540061">
              <w:rPr>
                <w:rFonts w:ascii="Open Sans" w:hAnsi="Open Sans" w:cs="Open Sans"/>
              </w:rPr>
              <w:t xml:space="preserve">Circulator / </w:t>
            </w:r>
            <w:r w:rsidRPr="00540061">
              <w:rPr>
                <w:rFonts w:ascii="Open Sans" w:hAnsi="Open Sans" w:cs="Open Sans"/>
                <w:lang w:val="fr-CA"/>
              </w:rPr>
              <w:t>Circulateur :</w:t>
            </w:r>
          </w:p>
        </w:tc>
        <w:tc>
          <w:tcPr>
            <w:tcW w:w="7982" w:type="dxa"/>
          </w:tcPr>
          <w:p w:rsidR="00AD366E" w:rsidRPr="00540061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Cambria" w:hAnsi="Open Sans" w:cs="Open Sans"/>
                <w:b/>
                <w:bCs/>
              </w:rPr>
            </w:pPr>
          </w:p>
        </w:tc>
      </w:tr>
      <w:tr w:rsidR="00AD366E" w:rsidRPr="00540061" w:rsidTr="00540061">
        <w:tc>
          <w:tcPr>
            <w:tcW w:w="3075" w:type="dxa"/>
          </w:tcPr>
          <w:p w:rsidR="00AD366E" w:rsidRP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Open Sans" w:eastAsia="Cambria" w:hAnsi="Open Sans" w:cs="Open Sans"/>
                <w:b/>
                <w:bCs/>
              </w:rPr>
            </w:pPr>
            <w:r w:rsidRPr="00540061">
              <w:rPr>
                <w:rFonts w:ascii="Open Sans" w:hAnsi="Open Sans" w:cs="Open Sans"/>
              </w:rPr>
              <w:t xml:space="preserve">Refrigerator / </w:t>
            </w:r>
            <w:r w:rsidRPr="00540061">
              <w:rPr>
                <w:rFonts w:ascii="Open Sans" w:hAnsi="Open Sans" w:cs="Open Sans"/>
                <w:lang w:val="fr-CA"/>
              </w:rPr>
              <w:t>Réfrigérateur :</w:t>
            </w:r>
          </w:p>
        </w:tc>
        <w:tc>
          <w:tcPr>
            <w:tcW w:w="7982" w:type="dxa"/>
          </w:tcPr>
          <w:p w:rsidR="00AD366E" w:rsidRPr="00540061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Cambria" w:hAnsi="Open Sans" w:cs="Open Sans"/>
                <w:b/>
                <w:bCs/>
              </w:rPr>
            </w:pPr>
          </w:p>
        </w:tc>
      </w:tr>
      <w:tr w:rsidR="00AD366E" w:rsidRPr="00540061" w:rsidTr="00540061">
        <w:tc>
          <w:tcPr>
            <w:tcW w:w="3075" w:type="dxa"/>
          </w:tcPr>
          <w:p w:rsidR="00AD366E" w:rsidRP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Open Sans" w:eastAsia="Cambria" w:hAnsi="Open Sans" w:cs="Open Sans"/>
                <w:b/>
                <w:bCs/>
              </w:rPr>
            </w:pPr>
            <w:r w:rsidRPr="00540061">
              <w:rPr>
                <w:rFonts w:ascii="Open Sans" w:hAnsi="Open Sans" w:cs="Open Sans"/>
              </w:rPr>
              <w:t xml:space="preserve">Thermometer / </w:t>
            </w:r>
            <w:r w:rsidRPr="00540061">
              <w:rPr>
                <w:rFonts w:ascii="Open Sans" w:hAnsi="Open Sans" w:cs="Open Sans"/>
                <w:lang w:val="fr-CA"/>
              </w:rPr>
              <w:t>Thermomètre :</w:t>
            </w:r>
          </w:p>
        </w:tc>
        <w:tc>
          <w:tcPr>
            <w:tcW w:w="7982" w:type="dxa"/>
          </w:tcPr>
          <w:p w:rsidR="00AD366E" w:rsidRPr="00540061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Cambria" w:hAnsi="Open Sans" w:cs="Open Sans"/>
                <w:b/>
                <w:bCs/>
              </w:rPr>
            </w:pPr>
          </w:p>
        </w:tc>
      </w:tr>
      <w:tr w:rsidR="00AD366E" w:rsidRPr="00540061" w:rsidTr="00540061">
        <w:tc>
          <w:tcPr>
            <w:tcW w:w="3075" w:type="dxa"/>
          </w:tcPr>
          <w:p w:rsidR="00AD366E" w:rsidRP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Open Sans" w:eastAsia="Cambria" w:hAnsi="Open Sans" w:cs="Open Sans"/>
                <w:b/>
                <w:bCs/>
              </w:rPr>
            </w:pPr>
            <w:r w:rsidRPr="00540061">
              <w:rPr>
                <w:rFonts w:ascii="Open Sans" w:hAnsi="Open Sans" w:cs="Open Sans"/>
              </w:rPr>
              <w:t xml:space="preserve">Vacuum Packager / </w:t>
            </w:r>
            <w:r w:rsidRPr="00540061">
              <w:rPr>
                <w:rFonts w:ascii="Open Sans" w:hAnsi="Open Sans" w:cs="Open Sans"/>
                <w:lang w:val="fr-CA"/>
              </w:rPr>
              <w:t>Emballeur sous vide :</w:t>
            </w:r>
          </w:p>
        </w:tc>
        <w:tc>
          <w:tcPr>
            <w:tcW w:w="7982" w:type="dxa"/>
          </w:tcPr>
          <w:p w:rsidR="00AD366E" w:rsidRPr="00540061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Cambria" w:hAnsi="Open Sans" w:cs="Open Sans"/>
                <w:b/>
                <w:bCs/>
              </w:rPr>
            </w:pPr>
          </w:p>
        </w:tc>
      </w:tr>
    </w:tbl>
    <w:p w:rsidR="00925196" w:rsidRDefault="00925196" w:rsidP="00AD366E">
      <w:pPr>
        <w:pStyle w:val="Body"/>
        <w:rPr>
          <w:rFonts w:ascii="Open Sans" w:hAnsi="Open Sans" w:cs="Open Sans"/>
        </w:rPr>
      </w:pPr>
    </w:p>
    <w:p w:rsidR="00540061" w:rsidRDefault="00540061" w:rsidP="00AD366E">
      <w:pPr>
        <w:pStyle w:val="Body"/>
        <w:rPr>
          <w:rFonts w:ascii="Open Sans" w:hAnsi="Open Sans" w:cs="Open Sans"/>
        </w:rPr>
      </w:pPr>
    </w:p>
    <w:p w:rsidR="00540061" w:rsidRDefault="00540061" w:rsidP="00AD366E">
      <w:pPr>
        <w:pStyle w:val="Body"/>
        <w:rPr>
          <w:rFonts w:ascii="Open Sans" w:hAnsi="Open Sans" w:cs="Open Sans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540061" w:rsidTr="00540061">
        <w:trPr>
          <w:trHeight w:val="731"/>
        </w:trPr>
        <w:tc>
          <w:tcPr>
            <w:tcW w:w="11057" w:type="dxa"/>
            <w:vAlign w:val="center"/>
          </w:tcPr>
          <w:p w:rsidR="00540061" w:rsidRPr="00540061" w:rsidRDefault="00540061" w:rsidP="00540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Open Sans" w:hAnsi="Open Sans" w:cs="Open Sans"/>
                <w:b/>
              </w:rPr>
            </w:pPr>
            <w:r w:rsidRPr="00540061">
              <w:rPr>
                <w:rFonts w:ascii="Open Sans" w:hAnsi="Open Sans" w:cs="Open Sans"/>
                <w:b/>
                <w:sz w:val="28"/>
              </w:rPr>
              <w:t>NOTES</w:t>
            </w: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  <w:tr w:rsidR="00540061" w:rsidTr="00540061">
        <w:tc>
          <w:tcPr>
            <w:tcW w:w="11057" w:type="dxa"/>
          </w:tcPr>
          <w:p w:rsidR="00540061" w:rsidRDefault="00540061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</w:p>
        </w:tc>
      </w:tr>
    </w:tbl>
    <w:p w:rsidR="00540061" w:rsidRPr="00540061" w:rsidRDefault="00540061" w:rsidP="00AD366E">
      <w:pPr>
        <w:pStyle w:val="Body"/>
        <w:rPr>
          <w:rFonts w:ascii="Open Sans" w:hAnsi="Open Sans" w:cs="Open Sans"/>
        </w:rPr>
      </w:pPr>
    </w:p>
    <w:sectPr w:rsidR="00540061" w:rsidRPr="00540061" w:rsidSect="00540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21" w:right="1440" w:bottom="1021" w:left="1440" w:header="397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11" w:rsidRDefault="00822311">
      <w:r>
        <w:separator/>
      </w:r>
    </w:p>
  </w:endnote>
  <w:endnote w:type="continuationSeparator" w:id="0">
    <w:p w:rsidR="00822311" w:rsidRDefault="0082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61" w:rsidRDefault="00540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61" w:rsidRPr="00540061" w:rsidRDefault="00540061">
    <w:pPr>
      <w:tabs>
        <w:tab w:val="center" w:pos="4550"/>
        <w:tab w:val="left" w:pos="5818"/>
      </w:tabs>
      <w:ind w:right="260"/>
      <w:jc w:val="right"/>
      <w:rPr>
        <w:rFonts w:ascii="Open Sans" w:hAnsi="Open Sans" w:cs="Open Sans"/>
        <w:color w:val="202020" w:themeColor="text2" w:themeShade="80"/>
      </w:rPr>
    </w:pPr>
    <w:r w:rsidRPr="00540061">
      <w:rPr>
        <w:rFonts w:ascii="Open Sans" w:hAnsi="Open Sans" w:cs="Open Sans"/>
        <w:color w:val="8C8C8C" w:themeColor="text2" w:themeTint="99"/>
        <w:spacing w:val="60"/>
      </w:rPr>
      <w:t>Page</w:t>
    </w:r>
    <w:r w:rsidRPr="00540061">
      <w:rPr>
        <w:rFonts w:ascii="Open Sans" w:hAnsi="Open Sans" w:cs="Open Sans"/>
        <w:color w:val="8C8C8C" w:themeColor="text2" w:themeTint="99"/>
      </w:rPr>
      <w:t xml:space="preserve"> </w:t>
    </w:r>
    <w:r w:rsidRPr="00540061">
      <w:rPr>
        <w:rFonts w:ascii="Open Sans" w:hAnsi="Open Sans" w:cs="Open Sans"/>
        <w:color w:val="2F2F2F" w:themeColor="text2" w:themeShade="BF"/>
      </w:rPr>
      <w:fldChar w:fldCharType="begin"/>
    </w:r>
    <w:r w:rsidRPr="00540061">
      <w:rPr>
        <w:rFonts w:ascii="Open Sans" w:hAnsi="Open Sans" w:cs="Open Sans"/>
        <w:color w:val="2F2F2F" w:themeColor="text2" w:themeShade="BF"/>
      </w:rPr>
      <w:instrText xml:space="preserve"> PAGE   \* MERGEFORMAT </w:instrText>
    </w:r>
    <w:r w:rsidRPr="00540061">
      <w:rPr>
        <w:rFonts w:ascii="Open Sans" w:hAnsi="Open Sans" w:cs="Open Sans"/>
        <w:color w:val="2F2F2F" w:themeColor="text2" w:themeShade="BF"/>
      </w:rPr>
      <w:fldChar w:fldCharType="separate"/>
    </w:r>
    <w:r w:rsidR="00592537">
      <w:rPr>
        <w:rFonts w:ascii="Open Sans" w:hAnsi="Open Sans" w:cs="Open Sans"/>
        <w:noProof/>
        <w:color w:val="2F2F2F" w:themeColor="text2" w:themeShade="BF"/>
      </w:rPr>
      <w:t>2</w:t>
    </w:r>
    <w:r w:rsidRPr="00540061">
      <w:rPr>
        <w:rFonts w:ascii="Open Sans" w:hAnsi="Open Sans" w:cs="Open Sans"/>
        <w:color w:val="2F2F2F" w:themeColor="text2" w:themeShade="BF"/>
      </w:rPr>
      <w:fldChar w:fldCharType="end"/>
    </w:r>
    <w:r w:rsidRPr="00540061">
      <w:rPr>
        <w:rFonts w:ascii="Open Sans" w:hAnsi="Open Sans" w:cs="Open Sans"/>
        <w:color w:val="2F2F2F" w:themeColor="text2" w:themeShade="BF"/>
      </w:rPr>
      <w:t xml:space="preserve"> | </w:t>
    </w:r>
    <w:r w:rsidRPr="00540061">
      <w:rPr>
        <w:rFonts w:ascii="Open Sans" w:hAnsi="Open Sans" w:cs="Open Sans"/>
        <w:color w:val="2F2F2F" w:themeColor="text2" w:themeShade="BF"/>
      </w:rPr>
      <w:fldChar w:fldCharType="begin"/>
    </w:r>
    <w:r w:rsidRPr="00540061">
      <w:rPr>
        <w:rFonts w:ascii="Open Sans" w:hAnsi="Open Sans" w:cs="Open Sans"/>
        <w:color w:val="2F2F2F" w:themeColor="text2" w:themeShade="BF"/>
      </w:rPr>
      <w:instrText xml:space="preserve"> NUMPAGES  \* Arabic  \* MERGEFORMAT </w:instrText>
    </w:r>
    <w:r w:rsidRPr="00540061">
      <w:rPr>
        <w:rFonts w:ascii="Open Sans" w:hAnsi="Open Sans" w:cs="Open Sans"/>
        <w:color w:val="2F2F2F" w:themeColor="text2" w:themeShade="BF"/>
      </w:rPr>
      <w:fldChar w:fldCharType="separate"/>
    </w:r>
    <w:r w:rsidR="00592537">
      <w:rPr>
        <w:rFonts w:ascii="Open Sans" w:hAnsi="Open Sans" w:cs="Open Sans"/>
        <w:noProof/>
        <w:color w:val="2F2F2F" w:themeColor="text2" w:themeShade="BF"/>
      </w:rPr>
      <w:t>2</w:t>
    </w:r>
    <w:r w:rsidRPr="00540061">
      <w:rPr>
        <w:rFonts w:ascii="Open Sans" w:hAnsi="Open Sans" w:cs="Open Sans"/>
        <w:color w:val="2F2F2F" w:themeColor="text2" w:themeShade="BF"/>
      </w:rPr>
      <w:fldChar w:fldCharType="end"/>
    </w:r>
  </w:p>
  <w:p w:rsidR="00540061" w:rsidRDefault="00540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61" w:rsidRDefault="00540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11" w:rsidRDefault="00822311">
      <w:r>
        <w:separator/>
      </w:r>
    </w:p>
  </w:footnote>
  <w:footnote w:type="continuationSeparator" w:id="0">
    <w:p w:rsidR="00822311" w:rsidRDefault="0082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61" w:rsidRDefault="00540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96" w:rsidRPr="00540061" w:rsidRDefault="00BB6A88">
    <w:pPr>
      <w:pStyle w:val="HeaderFooter"/>
      <w:tabs>
        <w:tab w:val="clear" w:pos="9020"/>
        <w:tab w:val="center" w:pos="6480"/>
        <w:tab w:val="right" w:pos="12960"/>
      </w:tabs>
      <w:rPr>
        <w:rFonts w:ascii="Open Sans" w:hAnsi="Open Sans" w:cs="Open Sans"/>
      </w:rPr>
    </w:pPr>
    <w:r w:rsidRPr="00540061">
      <w:rPr>
        <w:rFonts w:ascii="Open Sans" w:hAnsi="Open Sans" w:cs="Open Sans"/>
        <w:bCs/>
        <w:noProof/>
        <w:snapToGrid w:val="0"/>
        <w:lang w:val="en-CA" w:eastAsia="en-CA"/>
      </w:rPr>
      <w:drawing>
        <wp:anchor distT="36576" distB="36576" distL="36576" distR="36576" simplePos="0" relativeHeight="251659264" behindDoc="0" locked="0" layoutInCell="1" allowOverlap="1" wp14:anchorId="0B915B7C" wp14:editId="626F66F5">
          <wp:simplePos x="0" y="0"/>
          <wp:positionH relativeFrom="margin">
            <wp:posOffset>5303520</wp:posOffset>
          </wp:positionH>
          <wp:positionV relativeFrom="paragraph">
            <wp:posOffset>-47625</wp:posOffset>
          </wp:positionV>
          <wp:extent cx="878774" cy="477911"/>
          <wp:effectExtent l="0" t="0" r="0" b="0"/>
          <wp:wrapNone/>
          <wp:docPr id="4" name="Picture 4" descr="Logo_SkillsCompetences-Canada_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killsCompetences-Canada_Ont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477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C92" w:rsidRPr="00540061">
      <w:rPr>
        <w:rFonts w:ascii="Open Sans" w:hAnsi="Open Sans" w:cs="Open Sans"/>
      </w:rPr>
      <w:t xml:space="preserve">Sous Vide </w:t>
    </w:r>
    <w:r w:rsidR="00AD366E" w:rsidRPr="00540061">
      <w:rPr>
        <w:rFonts w:ascii="Open Sans" w:hAnsi="Open Sans" w:cs="Open Sans"/>
      </w:rPr>
      <w:t xml:space="preserve">Application Plan - </w:t>
    </w:r>
    <w:r w:rsidR="00540061" w:rsidRPr="00540061">
      <w:rPr>
        <w:rFonts w:ascii="Open Sans" w:hAnsi="Open Sans" w:cs="Open Sans"/>
      </w:rPr>
      <w:t xml:space="preserve">CCP Log / </w:t>
    </w:r>
  </w:p>
  <w:p w:rsidR="00540061" w:rsidRPr="00540061" w:rsidRDefault="00540061">
    <w:pPr>
      <w:pStyle w:val="HeaderFooter"/>
      <w:tabs>
        <w:tab w:val="clear" w:pos="9020"/>
        <w:tab w:val="center" w:pos="6480"/>
        <w:tab w:val="right" w:pos="12960"/>
      </w:tabs>
      <w:rPr>
        <w:rFonts w:ascii="Open Sans" w:hAnsi="Open Sans" w:cs="Open Sans"/>
      </w:rPr>
    </w:pPr>
    <w:r w:rsidRPr="00540061">
      <w:rPr>
        <w:rFonts w:ascii="Open Sans" w:hAnsi="Open Sans" w:cs="Open Sans"/>
        <w:lang w:val="fr-CA"/>
      </w:rPr>
      <w:t>Plan pour l’application sous vide – Registre des PCC</w:t>
    </w:r>
  </w:p>
  <w:p w:rsidR="00540061" w:rsidRDefault="00540061">
    <w:pPr>
      <w:pStyle w:val="HeaderFooter"/>
      <w:tabs>
        <w:tab w:val="clear" w:pos="9020"/>
        <w:tab w:val="center" w:pos="6480"/>
        <w:tab w:val="right" w:pos="12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61" w:rsidRDefault="00540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54B"/>
    <w:multiLevelType w:val="multilevel"/>
    <w:tmpl w:val="B1360DC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84A7D18"/>
    <w:multiLevelType w:val="multilevel"/>
    <w:tmpl w:val="9D6A9D0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C3E3319"/>
    <w:multiLevelType w:val="multilevel"/>
    <w:tmpl w:val="01101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25A1120"/>
    <w:multiLevelType w:val="multilevel"/>
    <w:tmpl w:val="3D229A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97A19F2"/>
    <w:multiLevelType w:val="multilevel"/>
    <w:tmpl w:val="1A92AA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51EC0944"/>
    <w:multiLevelType w:val="multilevel"/>
    <w:tmpl w:val="2A4C24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6"/>
    <w:rsid w:val="0000610D"/>
    <w:rsid w:val="00023E0D"/>
    <w:rsid w:val="00540061"/>
    <w:rsid w:val="00592537"/>
    <w:rsid w:val="00661C92"/>
    <w:rsid w:val="00822311"/>
    <w:rsid w:val="00925196"/>
    <w:rsid w:val="00AD366E"/>
    <w:rsid w:val="00BB6A88"/>
    <w:rsid w:val="00D378C3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62E91-7B77-4A99-BB75-2AA5199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6E"/>
    <w:rPr>
      <w:sz w:val="24"/>
      <w:szCs w:val="24"/>
    </w:rPr>
  </w:style>
  <w:style w:type="table" w:styleId="TableGrid">
    <w:name w:val="Table Grid"/>
    <w:basedOn w:val="TableNormal"/>
    <w:uiPriority w:val="59"/>
    <w:rsid w:val="00AD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11AA4-93F4-4698-87DB-14DA0DE1C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39a2ddd7-b8f5-4c59-b42e-68b2a643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7B0E8-9C1B-4E0B-9836-26E1ECC25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1A589-D275-43B3-8943-035FAD1FA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Jennifer Green</cp:lastModifiedBy>
  <cp:revision>3</cp:revision>
  <dcterms:created xsi:type="dcterms:W3CDTF">2020-02-05T15:23:00Z</dcterms:created>
  <dcterms:modified xsi:type="dcterms:W3CDTF">2020-02-05T15:40:00Z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